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205384">
        <w:rPr>
          <w:b w:val="0"/>
          <w:bCs w:val="0"/>
          <w:sz w:val="20"/>
          <w:szCs w:val="20"/>
        </w:rPr>
        <w:t>22</w:t>
      </w:r>
      <w:r w:rsidRPr="006A14D6">
        <w:rPr>
          <w:b w:val="0"/>
          <w:bCs w:val="0"/>
          <w:sz w:val="20"/>
          <w:szCs w:val="20"/>
        </w:rPr>
        <w:t xml:space="preserve">» </w:t>
      </w:r>
      <w:r w:rsidR="00205384">
        <w:rPr>
          <w:b w:val="0"/>
          <w:bCs w:val="0"/>
          <w:sz w:val="20"/>
          <w:szCs w:val="20"/>
        </w:rPr>
        <w:t>февраля</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205384">
        <w:rPr>
          <w:b w:val="0"/>
          <w:bCs w:val="0"/>
          <w:sz w:val="20"/>
          <w:szCs w:val="20"/>
        </w:rPr>
        <w:t>2</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205384">
        <w:rPr>
          <w:sz w:val="20"/>
          <w:szCs w:val="20"/>
        </w:rPr>
        <w:t>13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205384">
        <w:rPr>
          <w:sz w:val="20"/>
          <w:szCs w:val="20"/>
        </w:rPr>
        <w:t>22»</w:t>
      </w:r>
      <w:r w:rsidR="00755831" w:rsidRPr="006A14D6">
        <w:rPr>
          <w:sz w:val="20"/>
          <w:szCs w:val="20"/>
        </w:rPr>
        <w:t xml:space="preserve"> </w:t>
      </w:r>
      <w:r w:rsidR="00205384">
        <w:rPr>
          <w:sz w:val="20"/>
          <w:szCs w:val="20"/>
        </w:rPr>
        <w:t>февраля</w:t>
      </w:r>
      <w:r w:rsidR="000441D2" w:rsidRPr="006A14D6">
        <w:rPr>
          <w:sz w:val="20"/>
          <w:szCs w:val="20"/>
        </w:rPr>
        <w:t xml:space="preserve"> </w:t>
      </w:r>
      <w:r w:rsidR="00980513">
        <w:rPr>
          <w:sz w:val="20"/>
          <w:szCs w:val="20"/>
        </w:rPr>
        <w:t>202</w:t>
      </w:r>
      <w:r w:rsidR="00205384">
        <w:rPr>
          <w:sz w:val="20"/>
          <w:szCs w:val="20"/>
        </w:rPr>
        <w:t>2</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980513">
        <w:rPr>
          <w:sz w:val="20"/>
          <w:szCs w:val="20"/>
        </w:rPr>
        <w:t xml:space="preserve">344-000 </w:t>
      </w:r>
      <w:proofErr w:type="spellStart"/>
      <w:r w:rsidR="00980513">
        <w:rPr>
          <w:sz w:val="20"/>
          <w:szCs w:val="20"/>
        </w:rPr>
        <w:t>доб</w:t>
      </w:r>
      <w:proofErr w:type="spellEnd"/>
      <w:r w:rsidR="00980513">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980513">
        <w:rPr>
          <w:sz w:val="20"/>
          <w:szCs w:val="20"/>
        </w:rPr>
        <w:t>Вторых Наталья Юрьевна</w:t>
      </w:r>
      <w:r w:rsidR="00FD28A2" w:rsidRPr="006A14D6">
        <w:rPr>
          <w:sz w:val="20"/>
          <w:szCs w:val="20"/>
        </w:rPr>
        <w:t xml:space="preserve">, тел.: +7 (3953) </w:t>
      </w:r>
      <w:r w:rsidR="00980513">
        <w:rPr>
          <w:sz w:val="20"/>
          <w:szCs w:val="20"/>
        </w:rPr>
        <w:t xml:space="preserve">344-000 </w:t>
      </w:r>
      <w:proofErr w:type="spellStart"/>
      <w:r w:rsidR="00980513">
        <w:rPr>
          <w:sz w:val="20"/>
          <w:szCs w:val="20"/>
        </w:rPr>
        <w:t>доб</w:t>
      </w:r>
      <w:proofErr w:type="spellEnd"/>
      <w:r w:rsidR="00980513">
        <w:rPr>
          <w:sz w:val="20"/>
          <w:szCs w:val="20"/>
        </w:rPr>
        <w:t>. 718.</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C13678" w:rsidRPr="0085490C">
        <w:rPr>
          <w:sz w:val="20"/>
          <w:szCs w:val="20"/>
        </w:rPr>
        <w:t>оказание услуг по передаче сигнала, дублирующего вывод сигнала о пожаре на пульт централизованного наблюдения пожарной охраны, мониторингу, техническому о</w:t>
      </w:r>
      <w:r w:rsidR="00C13678" w:rsidRPr="0085490C">
        <w:rPr>
          <w:sz w:val="20"/>
          <w:szCs w:val="20"/>
        </w:rPr>
        <w:t>б</w:t>
      </w:r>
      <w:r w:rsidR="00C13678" w:rsidRPr="0085490C">
        <w:rPr>
          <w:sz w:val="20"/>
          <w:szCs w:val="20"/>
        </w:rPr>
        <w:t>служиванию и ремонту объектовых оконечных приборов А</w:t>
      </w:r>
      <w:r w:rsidR="00C13678">
        <w:rPr>
          <w:sz w:val="20"/>
          <w:szCs w:val="20"/>
        </w:rPr>
        <w:t>С</w:t>
      </w:r>
      <w:r w:rsidR="00C13678" w:rsidRPr="0085490C">
        <w:rPr>
          <w:sz w:val="20"/>
          <w:szCs w:val="20"/>
        </w:rPr>
        <w:t>ПС</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w:t>
      </w:r>
      <w:r w:rsidR="00205384">
        <w:rPr>
          <w:sz w:val="20"/>
          <w:szCs w:val="20"/>
        </w:rPr>
        <w:t>2022</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C13678" w:rsidRDefault="00FD28A2" w:rsidP="00C13678">
      <w:pPr>
        <w:pStyle w:val="af7"/>
        <w:numPr>
          <w:ilvl w:val="1"/>
          <w:numId w:val="39"/>
        </w:numPr>
        <w:jc w:val="both"/>
        <w:rPr>
          <w:b/>
          <w:sz w:val="20"/>
          <w:szCs w:val="20"/>
        </w:rPr>
      </w:pPr>
      <w:r w:rsidRPr="00C13678">
        <w:rPr>
          <w:b/>
          <w:sz w:val="20"/>
          <w:szCs w:val="20"/>
        </w:rPr>
        <w:t xml:space="preserve">Место оказания услуг: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DD4095" w:rsidRPr="00DD4095" w:rsidTr="00266CD8">
        <w:trPr>
          <w:jc w:val="center"/>
        </w:trPr>
        <w:tc>
          <w:tcPr>
            <w:tcW w:w="534" w:type="dxa"/>
            <w:shd w:val="clear" w:color="auto" w:fill="D9D9D9" w:themeFill="background1" w:themeFillShade="D9"/>
          </w:tcPr>
          <w:p w:rsidR="00DD4095" w:rsidRPr="00DD4095" w:rsidRDefault="00DD4095" w:rsidP="00980513">
            <w:pPr>
              <w:jc w:val="center"/>
              <w:rPr>
                <w:sz w:val="20"/>
              </w:rPr>
            </w:pPr>
            <w:r w:rsidRPr="00DD4095">
              <w:rPr>
                <w:sz w:val="20"/>
              </w:rPr>
              <w:t xml:space="preserve">№ </w:t>
            </w:r>
            <w:proofErr w:type="spellStart"/>
            <w:proofErr w:type="gramStart"/>
            <w:r w:rsidRPr="00DD4095">
              <w:rPr>
                <w:sz w:val="20"/>
              </w:rPr>
              <w:t>п</w:t>
            </w:r>
            <w:proofErr w:type="spellEnd"/>
            <w:proofErr w:type="gramEnd"/>
            <w:r w:rsidRPr="00DD4095">
              <w:rPr>
                <w:sz w:val="20"/>
              </w:rPr>
              <w:t>/</w:t>
            </w:r>
            <w:proofErr w:type="spellStart"/>
            <w:r w:rsidRPr="00DD4095">
              <w:rPr>
                <w:sz w:val="20"/>
              </w:rPr>
              <w:t>п</w:t>
            </w:r>
            <w:proofErr w:type="spellEnd"/>
          </w:p>
        </w:tc>
        <w:tc>
          <w:tcPr>
            <w:tcW w:w="2614" w:type="dxa"/>
            <w:shd w:val="clear" w:color="auto" w:fill="D9D9D9" w:themeFill="background1" w:themeFillShade="D9"/>
            <w:vAlign w:val="center"/>
          </w:tcPr>
          <w:p w:rsidR="00DD4095" w:rsidRPr="00DD4095" w:rsidRDefault="00DD4095" w:rsidP="00980513">
            <w:pPr>
              <w:jc w:val="center"/>
              <w:rPr>
                <w:sz w:val="20"/>
              </w:rPr>
            </w:pPr>
            <w:r w:rsidRPr="00DD4095">
              <w:rPr>
                <w:sz w:val="20"/>
              </w:rPr>
              <w:t>Наименование объекта</w:t>
            </w:r>
          </w:p>
        </w:tc>
        <w:tc>
          <w:tcPr>
            <w:tcW w:w="3197" w:type="dxa"/>
            <w:shd w:val="clear" w:color="auto" w:fill="D9D9D9" w:themeFill="background1" w:themeFillShade="D9"/>
            <w:vAlign w:val="center"/>
          </w:tcPr>
          <w:p w:rsidR="00DD4095" w:rsidRPr="00DD4095" w:rsidRDefault="00DD4095" w:rsidP="00980513">
            <w:pPr>
              <w:jc w:val="center"/>
              <w:rPr>
                <w:sz w:val="20"/>
              </w:rPr>
            </w:pPr>
            <w:proofErr w:type="gramStart"/>
            <w:r w:rsidRPr="00DD4095">
              <w:rPr>
                <w:sz w:val="20"/>
              </w:rPr>
              <w:t>Место нахождение</w:t>
            </w:r>
            <w:proofErr w:type="gramEnd"/>
            <w:r w:rsidRPr="00DD4095">
              <w:rPr>
                <w:sz w:val="20"/>
              </w:rPr>
              <w:t xml:space="preserve"> объекта</w:t>
            </w:r>
          </w:p>
        </w:tc>
        <w:tc>
          <w:tcPr>
            <w:tcW w:w="1955" w:type="dxa"/>
            <w:shd w:val="clear" w:color="auto" w:fill="D9D9D9" w:themeFill="background1" w:themeFillShade="D9"/>
            <w:vAlign w:val="center"/>
          </w:tcPr>
          <w:p w:rsidR="00DD4095" w:rsidRPr="00DD4095" w:rsidRDefault="00DD4095" w:rsidP="00980513">
            <w:pPr>
              <w:jc w:val="center"/>
              <w:rPr>
                <w:sz w:val="20"/>
              </w:rPr>
            </w:pPr>
            <w:r w:rsidRPr="00DD4095">
              <w:rPr>
                <w:sz w:val="20"/>
              </w:rPr>
              <w:t>Наименование об</w:t>
            </w:r>
            <w:r w:rsidRPr="00DD4095">
              <w:rPr>
                <w:sz w:val="20"/>
              </w:rPr>
              <w:t>о</w:t>
            </w:r>
            <w:r w:rsidRPr="00DD4095">
              <w:rPr>
                <w:sz w:val="20"/>
              </w:rPr>
              <w:t>рудования</w:t>
            </w:r>
          </w:p>
        </w:tc>
        <w:tc>
          <w:tcPr>
            <w:tcW w:w="1447" w:type="dxa"/>
            <w:shd w:val="clear" w:color="auto" w:fill="D9D9D9" w:themeFill="background1" w:themeFillShade="D9"/>
            <w:vAlign w:val="center"/>
          </w:tcPr>
          <w:p w:rsidR="00DD4095" w:rsidRPr="00DD4095" w:rsidRDefault="00DD4095" w:rsidP="00980513">
            <w:pPr>
              <w:jc w:val="center"/>
              <w:rPr>
                <w:sz w:val="20"/>
              </w:rPr>
            </w:pPr>
            <w:r w:rsidRPr="00DD4095">
              <w:rPr>
                <w:sz w:val="20"/>
              </w:rPr>
              <w:t>Количество, шт.</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1</w:t>
            </w:r>
          </w:p>
        </w:tc>
        <w:tc>
          <w:tcPr>
            <w:tcW w:w="2614" w:type="dxa"/>
            <w:shd w:val="clear" w:color="auto" w:fill="auto"/>
            <w:vAlign w:val="center"/>
          </w:tcPr>
          <w:p w:rsidR="00C13678" w:rsidRPr="0085490C" w:rsidRDefault="00C13678" w:rsidP="009805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2</w:t>
            </w:r>
          </w:p>
        </w:tc>
        <w:tc>
          <w:tcPr>
            <w:tcW w:w="2614" w:type="dxa"/>
            <w:shd w:val="clear" w:color="auto" w:fill="auto"/>
            <w:vAlign w:val="center"/>
          </w:tcPr>
          <w:p w:rsidR="00C13678" w:rsidRPr="0085490C" w:rsidRDefault="00C13678" w:rsidP="009805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3</w:t>
            </w:r>
          </w:p>
        </w:tc>
        <w:tc>
          <w:tcPr>
            <w:tcW w:w="2614" w:type="dxa"/>
            <w:shd w:val="clear" w:color="auto" w:fill="auto"/>
            <w:vAlign w:val="center"/>
          </w:tcPr>
          <w:p w:rsidR="00C13678" w:rsidRPr="0085490C" w:rsidRDefault="00C13678" w:rsidP="009805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4</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1</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5</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3</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6</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4</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7</w:t>
            </w:r>
          </w:p>
        </w:tc>
        <w:tc>
          <w:tcPr>
            <w:tcW w:w="2614" w:type="dxa"/>
            <w:shd w:val="clear" w:color="auto" w:fill="auto"/>
            <w:vAlign w:val="center"/>
          </w:tcPr>
          <w:p w:rsidR="00C13678" w:rsidRPr="0085490C" w:rsidRDefault="00C13678" w:rsidP="00980513">
            <w:pPr>
              <w:jc w:val="center"/>
              <w:rPr>
                <w:sz w:val="20"/>
              </w:rPr>
            </w:pPr>
            <w:r w:rsidRPr="0085490C">
              <w:rPr>
                <w:sz w:val="20"/>
              </w:rPr>
              <w:t>Учебный корпус БЦБК ФГБОУ ВО «БрГУ»</w:t>
            </w:r>
          </w:p>
        </w:tc>
        <w:tc>
          <w:tcPr>
            <w:tcW w:w="3197" w:type="dxa"/>
            <w:shd w:val="clear" w:color="auto" w:fill="auto"/>
            <w:vAlign w:val="center"/>
          </w:tcPr>
          <w:p w:rsidR="00C13678" w:rsidRPr="0085490C" w:rsidRDefault="00C13678" w:rsidP="009805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bl>
    <w:p w:rsidR="00FD28A2" w:rsidRPr="003832E5" w:rsidRDefault="00FD28A2" w:rsidP="00FD28A2">
      <w:pPr>
        <w:tabs>
          <w:tab w:val="left" w:pos="851"/>
          <w:tab w:val="left" w:pos="993"/>
        </w:tabs>
        <w:jc w:val="both"/>
        <w:rPr>
          <w:sz w:val="20"/>
          <w:szCs w:val="20"/>
        </w:rPr>
      </w:pPr>
    </w:p>
    <w:p w:rsidR="00DD4095" w:rsidRPr="00E07C8D" w:rsidRDefault="00DD4095" w:rsidP="00C13678">
      <w:pPr>
        <w:pStyle w:val="af7"/>
        <w:numPr>
          <w:ilvl w:val="1"/>
          <w:numId w:val="39"/>
        </w:numPr>
        <w:jc w:val="both"/>
        <w:rPr>
          <w:b/>
          <w:sz w:val="20"/>
          <w:szCs w:val="20"/>
        </w:rPr>
      </w:pPr>
      <w:r w:rsidRPr="00E07C8D">
        <w:rPr>
          <w:b/>
          <w:sz w:val="20"/>
          <w:szCs w:val="20"/>
        </w:rPr>
        <w:t>Перечень и график необходимых работ по техническому обслуживанию</w:t>
      </w:r>
    </w:p>
    <w:tbl>
      <w:tblPr>
        <w:tblW w:w="9795" w:type="dxa"/>
        <w:jc w:val="center"/>
        <w:tblLayout w:type="fixed"/>
        <w:tblCellMar>
          <w:left w:w="0" w:type="dxa"/>
          <w:right w:w="0" w:type="dxa"/>
        </w:tblCellMar>
        <w:tblLook w:val="0000"/>
      </w:tblPr>
      <w:tblGrid>
        <w:gridCol w:w="856"/>
        <w:gridCol w:w="5813"/>
        <w:gridCol w:w="1425"/>
        <w:gridCol w:w="1701"/>
      </w:tblGrid>
      <w:tr w:rsidR="00C13678" w:rsidRPr="0085490C" w:rsidTr="009805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 xml:space="preserve">№ </w:t>
            </w:r>
          </w:p>
          <w:p w:rsidR="00C13678" w:rsidRPr="0085490C" w:rsidRDefault="00C13678" w:rsidP="00980513">
            <w:pPr>
              <w:pStyle w:val="3f2"/>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Периодичность обслуживания</w:t>
            </w:r>
          </w:p>
        </w:tc>
      </w:tr>
      <w:tr w:rsidR="00C13678" w:rsidRPr="0085490C" w:rsidTr="009805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C13678" w:rsidRPr="0085490C" w:rsidRDefault="00C13678" w:rsidP="00980513">
            <w:pPr>
              <w:pStyle w:val="3f2"/>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Исполнителем</w:t>
            </w:r>
          </w:p>
        </w:tc>
      </w:tr>
      <w:tr w:rsidR="00C13678" w:rsidRPr="0085490C" w:rsidTr="00C13678">
        <w:trPr>
          <w:trHeight w:val="237"/>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lastRenderedPageBreak/>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lastRenderedPageBreak/>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lastRenderedPageBreak/>
              <w:t>3</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Постоянно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По необходимости</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Ежеквартально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 xml:space="preserve">Ежемесячно </w:t>
            </w:r>
          </w:p>
        </w:tc>
      </w:tr>
      <w:tr w:rsidR="00980513"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10</w:t>
            </w:r>
          </w:p>
        </w:tc>
        <w:tc>
          <w:tcPr>
            <w:tcW w:w="5813"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ind w:left="140" w:right="139"/>
              <w:rPr>
                <w:sz w:val="20"/>
              </w:rPr>
            </w:pPr>
            <w:r>
              <w:rPr>
                <w:sz w:val="20"/>
              </w:rPr>
              <w:t>Мониторинг передачи сигнала</w:t>
            </w:r>
          </w:p>
        </w:tc>
        <w:tc>
          <w:tcPr>
            <w:tcW w:w="1425"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w:t>
            </w:r>
          </w:p>
        </w:tc>
        <w:tc>
          <w:tcPr>
            <w:tcW w:w="1701"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Круглосуточно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980513" w:rsidP="00980513">
            <w:pPr>
              <w:pStyle w:val="3f2"/>
              <w:jc w:val="center"/>
              <w:rPr>
                <w:sz w:val="20"/>
              </w:rPr>
            </w:pPr>
            <w:r>
              <w:rPr>
                <w:sz w:val="20"/>
              </w:rPr>
              <w:t>11</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74236F" w:rsidP="00980513">
            <w:pPr>
              <w:pStyle w:val="3f2"/>
              <w:jc w:val="center"/>
              <w:rPr>
                <w:sz w:val="20"/>
              </w:rPr>
            </w:pPr>
            <w:r>
              <w:rPr>
                <w:sz w:val="20"/>
              </w:rPr>
              <w:t>Е</w:t>
            </w:r>
            <w:r w:rsidRPr="0085490C">
              <w:rPr>
                <w:sz w:val="20"/>
              </w:rPr>
              <w:t>жемесячно</w:t>
            </w:r>
          </w:p>
        </w:tc>
      </w:tr>
    </w:tbl>
    <w:p w:rsidR="00C13678" w:rsidRPr="0085490C" w:rsidRDefault="00C13678" w:rsidP="00C13678">
      <w:pPr>
        <w:jc w:val="both"/>
        <w:rPr>
          <w:b/>
          <w:sz w:val="20"/>
          <w:szCs w:val="20"/>
        </w:rPr>
      </w:pPr>
    </w:p>
    <w:p w:rsidR="00C13678" w:rsidRPr="00C13678" w:rsidRDefault="00C13678" w:rsidP="00C13678">
      <w:pPr>
        <w:pStyle w:val="af7"/>
        <w:numPr>
          <w:ilvl w:val="1"/>
          <w:numId w:val="39"/>
        </w:numPr>
        <w:jc w:val="both"/>
        <w:rPr>
          <w:b/>
          <w:sz w:val="20"/>
          <w:szCs w:val="20"/>
        </w:rPr>
      </w:pPr>
      <w:r w:rsidRPr="00C13678">
        <w:rPr>
          <w:b/>
          <w:sz w:val="20"/>
          <w:szCs w:val="20"/>
        </w:rPr>
        <w:t>«Исполнитель» обязан:</w:t>
      </w:r>
    </w:p>
    <w:p w:rsidR="00C13678" w:rsidRPr="00C13678" w:rsidRDefault="00C13678" w:rsidP="00C13678">
      <w:pPr>
        <w:pStyle w:val="af7"/>
        <w:numPr>
          <w:ilvl w:val="2"/>
          <w:numId w:val="39"/>
        </w:numPr>
        <w:tabs>
          <w:tab w:val="left" w:pos="567"/>
        </w:tabs>
        <w:ind w:left="0" w:firstLine="0"/>
        <w:jc w:val="both"/>
        <w:rPr>
          <w:b/>
          <w:sz w:val="20"/>
          <w:szCs w:val="20"/>
        </w:rPr>
      </w:pPr>
      <w:r w:rsidRPr="00C13678">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C13678">
        <w:rPr>
          <w:sz w:val="20"/>
          <w:szCs w:val="20"/>
        </w:rPr>
        <w:t>и</w:t>
      </w:r>
      <w:r w:rsidRPr="00C13678">
        <w:rPr>
          <w:sz w:val="20"/>
          <w:szCs w:val="20"/>
        </w:rPr>
        <w:t>ванию и ремонту прибора:</w:t>
      </w:r>
    </w:p>
    <w:p w:rsidR="00C13678" w:rsidRPr="0085490C" w:rsidRDefault="00C13678" w:rsidP="00C13678">
      <w:pPr>
        <w:pStyle w:val="af7"/>
        <w:numPr>
          <w:ilvl w:val="0"/>
          <w:numId w:val="18"/>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C13678" w:rsidRPr="0085490C" w:rsidRDefault="00C13678" w:rsidP="00C13678">
      <w:pPr>
        <w:pStyle w:val="af7"/>
        <w:numPr>
          <w:ilvl w:val="0"/>
          <w:numId w:val="18"/>
        </w:numPr>
        <w:tabs>
          <w:tab w:val="left" w:pos="284"/>
          <w:tab w:val="left" w:pos="567"/>
        </w:tabs>
        <w:ind w:left="0" w:firstLine="360"/>
        <w:jc w:val="both"/>
        <w:rPr>
          <w:b/>
          <w:sz w:val="20"/>
          <w:szCs w:val="20"/>
        </w:rPr>
      </w:pPr>
      <w:r w:rsidRPr="0085490C">
        <w:rPr>
          <w:sz w:val="20"/>
          <w:szCs w:val="20"/>
        </w:rPr>
        <w:t xml:space="preserve">устранять аварийные неисправности в работе базового прибора системы АПС в течение не более </w:t>
      </w:r>
      <w:r w:rsidR="00980513">
        <w:rPr>
          <w:sz w:val="20"/>
          <w:szCs w:val="20"/>
        </w:rPr>
        <w:t>4 (четырех)</w:t>
      </w:r>
      <w:r w:rsidRPr="0085490C">
        <w:rPr>
          <w:sz w:val="20"/>
          <w:szCs w:val="20"/>
        </w:rPr>
        <w:t xml:space="preserve"> ч</w:t>
      </w:r>
      <w:r w:rsidRPr="0085490C">
        <w:rPr>
          <w:sz w:val="20"/>
          <w:szCs w:val="20"/>
        </w:rPr>
        <w:t>а</w:t>
      </w:r>
      <w:r w:rsidRPr="0085490C">
        <w:rPr>
          <w:sz w:val="20"/>
          <w:szCs w:val="20"/>
        </w:rPr>
        <w:t>сов с момента получения вызова с постов охраны «Заказчика».</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r w:rsidR="00205384">
        <w:rPr>
          <w:sz w:val="20"/>
          <w:szCs w:val="20"/>
        </w:rPr>
        <w:t xml:space="preserve"> (на период действия договора: </w:t>
      </w:r>
      <w:proofErr w:type="gramStart"/>
      <w:r w:rsidR="00205384">
        <w:rPr>
          <w:sz w:val="20"/>
          <w:szCs w:val="20"/>
        </w:rPr>
        <w:t>Приказ МЧС от 18.11.2021 г. № 806)</w:t>
      </w:r>
      <w:r w:rsidRPr="0085490C">
        <w:rPr>
          <w:sz w:val="20"/>
          <w:szCs w:val="20"/>
        </w:rPr>
        <w:t>.</w:t>
      </w:r>
      <w:proofErr w:type="gramEnd"/>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 xml:space="preserve">те, а так же требования «Правил технической эксплуатации электроустановок потребителей», ГОСТ </w:t>
      </w:r>
      <w:proofErr w:type="gramStart"/>
      <w:r w:rsidRPr="0085490C">
        <w:rPr>
          <w:sz w:val="20"/>
          <w:szCs w:val="20"/>
        </w:rPr>
        <w:t>Р</w:t>
      </w:r>
      <w:proofErr w:type="gramEnd"/>
      <w:r w:rsidRPr="0085490C">
        <w:rPr>
          <w:sz w:val="20"/>
          <w:szCs w:val="20"/>
        </w:rPr>
        <w:t xml:space="preserve"> 56935-2016 и иных действующих правил обеспечения безопасности при проведении работ.</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C13678" w:rsidRDefault="00C13678" w:rsidP="00C13678">
      <w:pPr>
        <w:pStyle w:val="af7"/>
        <w:numPr>
          <w:ilvl w:val="2"/>
          <w:numId w:val="39"/>
        </w:numPr>
        <w:tabs>
          <w:tab w:val="left" w:pos="567"/>
        </w:tabs>
        <w:ind w:left="0" w:firstLine="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C13678" w:rsidRPr="0085490C" w:rsidRDefault="00C13678" w:rsidP="00C13678">
      <w:pPr>
        <w:pStyle w:val="af7"/>
        <w:tabs>
          <w:tab w:val="left" w:pos="567"/>
          <w:tab w:val="left" w:pos="1134"/>
        </w:tabs>
        <w:ind w:left="360"/>
        <w:jc w:val="both"/>
        <w:rPr>
          <w:sz w:val="20"/>
          <w:szCs w:val="20"/>
        </w:rPr>
      </w:pPr>
    </w:p>
    <w:p w:rsidR="00FD28A2" w:rsidRPr="00C80E94" w:rsidRDefault="00FD28A2" w:rsidP="00C13678">
      <w:pPr>
        <w:pStyle w:val="af7"/>
        <w:numPr>
          <w:ilvl w:val="1"/>
          <w:numId w:val="39"/>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205384" w:rsidRPr="00394B9F" w:rsidRDefault="00205384" w:rsidP="00205384">
      <w:pPr>
        <w:pStyle w:val="af7"/>
        <w:numPr>
          <w:ilvl w:val="0"/>
          <w:numId w:val="40"/>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205384" w:rsidRPr="00CB73E7" w:rsidRDefault="00205384" w:rsidP="00205384">
      <w:pPr>
        <w:jc w:val="both"/>
        <w:rPr>
          <w:sz w:val="20"/>
          <w:szCs w:val="20"/>
        </w:rPr>
      </w:pPr>
      <w:r w:rsidRPr="00CB73E7">
        <w:rPr>
          <w:sz w:val="20"/>
          <w:szCs w:val="20"/>
        </w:rPr>
        <w:t>НМЦД, методом сопоставимых рыночных цен (анализа рынка) определяется по формуле:</w:t>
      </w:r>
    </w:p>
    <w:p w:rsidR="00205384" w:rsidRPr="00CB73E7" w:rsidRDefault="00205384" w:rsidP="00205384">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205384" w:rsidRPr="00CB73E7" w:rsidRDefault="00205384" w:rsidP="00205384">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205384" w:rsidRPr="00CB73E7" w:rsidRDefault="00205384" w:rsidP="00205384">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205384" w:rsidRPr="00CB73E7" w:rsidRDefault="00205384" w:rsidP="00205384">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205384" w:rsidRPr="00CB73E7" w:rsidRDefault="00205384" w:rsidP="00205384">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205384" w:rsidRDefault="00205384" w:rsidP="00205384">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205384" w:rsidRDefault="00205384" w:rsidP="00205384">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205384" w:rsidRPr="00CB73E7" w:rsidRDefault="00205384" w:rsidP="00205384">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05384" w:rsidRPr="005979D3" w:rsidTr="00205384">
        <w:trPr>
          <w:trHeight w:val="348"/>
          <w:jc w:val="center"/>
        </w:trPr>
        <w:tc>
          <w:tcPr>
            <w:tcW w:w="659" w:type="dxa"/>
            <w:vMerge w:val="restart"/>
            <w:vAlign w:val="center"/>
          </w:tcPr>
          <w:p w:rsidR="00205384" w:rsidRPr="005979D3" w:rsidRDefault="00205384" w:rsidP="00205384">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205384" w:rsidRPr="005979D3" w:rsidRDefault="00205384" w:rsidP="00205384">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205384" w:rsidRDefault="00205384" w:rsidP="00205384">
            <w:pPr>
              <w:jc w:val="center"/>
              <w:rPr>
                <w:sz w:val="20"/>
                <w:szCs w:val="20"/>
              </w:rPr>
            </w:pPr>
            <w:r>
              <w:rPr>
                <w:sz w:val="20"/>
                <w:szCs w:val="20"/>
              </w:rPr>
              <w:t>Ценовая информация Исполнителей</w:t>
            </w:r>
            <w:r w:rsidRPr="005979D3">
              <w:rPr>
                <w:sz w:val="20"/>
                <w:szCs w:val="20"/>
              </w:rPr>
              <w:t xml:space="preserve"> (далее ЦИ)</w:t>
            </w:r>
          </w:p>
          <w:p w:rsidR="00205384" w:rsidRPr="005979D3" w:rsidRDefault="00205384" w:rsidP="00205384">
            <w:pPr>
              <w:jc w:val="center"/>
              <w:rPr>
                <w:sz w:val="20"/>
                <w:szCs w:val="20"/>
              </w:rPr>
            </w:pPr>
            <w:r w:rsidRPr="005979D3">
              <w:rPr>
                <w:sz w:val="20"/>
                <w:szCs w:val="20"/>
              </w:rPr>
              <w:t>с учетом всех расходов, руб.</w:t>
            </w:r>
          </w:p>
        </w:tc>
        <w:tc>
          <w:tcPr>
            <w:tcW w:w="1195" w:type="dxa"/>
            <w:vMerge w:val="restart"/>
            <w:vAlign w:val="center"/>
          </w:tcPr>
          <w:p w:rsidR="00205384" w:rsidRPr="005979D3" w:rsidRDefault="00205384" w:rsidP="00205384">
            <w:pPr>
              <w:jc w:val="center"/>
              <w:rPr>
                <w:sz w:val="20"/>
                <w:szCs w:val="20"/>
              </w:rPr>
            </w:pPr>
            <w:r w:rsidRPr="005979D3">
              <w:rPr>
                <w:sz w:val="20"/>
                <w:szCs w:val="20"/>
              </w:rPr>
              <w:t xml:space="preserve">Кол-во, </w:t>
            </w:r>
            <w:r>
              <w:rPr>
                <w:sz w:val="20"/>
                <w:szCs w:val="20"/>
              </w:rPr>
              <w:t>месяц</w:t>
            </w:r>
          </w:p>
        </w:tc>
      </w:tr>
      <w:tr w:rsidR="00205384" w:rsidRPr="005979D3" w:rsidTr="00205384">
        <w:trPr>
          <w:trHeight w:val="348"/>
          <w:jc w:val="center"/>
        </w:trPr>
        <w:tc>
          <w:tcPr>
            <w:tcW w:w="659" w:type="dxa"/>
            <w:vMerge/>
            <w:vAlign w:val="center"/>
          </w:tcPr>
          <w:p w:rsidR="00205384" w:rsidRPr="005979D3" w:rsidRDefault="00205384" w:rsidP="00205384">
            <w:pPr>
              <w:jc w:val="both"/>
              <w:rPr>
                <w:sz w:val="20"/>
                <w:szCs w:val="20"/>
              </w:rPr>
            </w:pPr>
          </w:p>
        </w:tc>
        <w:tc>
          <w:tcPr>
            <w:tcW w:w="2992" w:type="dxa"/>
            <w:vMerge/>
            <w:vAlign w:val="center"/>
          </w:tcPr>
          <w:p w:rsidR="00205384" w:rsidRPr="005979D3" w:rsidRDefault="00205384" w:rsidP="00205384">
            <w:pPr>
              <w:jc w:val="both"/>
              <w:rPr>
                <w:sz w:val="20"/>
                <w:szCs w:val="20"/>
              </w:rPr>
            </w:pPr>
          </w:p>
        </w:tc>
        <w:tc>
          <w:tcPr>
            <w:tcW w:w="2057" w:type="dxa"/>
            <w:vAlign w:val="center"/>
          </w:tcPr>
          <w:p w:rsidR="00205384" w:rsidRPr="005979D3" w:rsidRDefault="00205384" w:rsidP="00205384">
            <w:pPr>
              <w:jc w:val="center"/>
              <w:rPr>
                <w:sz w:val="20"/>
                <w:szCs w:val="20"/>
              </w:rPr>
            </w:pPr>
            <w:r w:rsidRPr="005979D3">
              <w:rPr>
                <w:sz w:val="20"/>
                <w:szCs w:val="20"/>
              </w:rPr>
              <w:t>ЦИ</w:t>
            </w:r>
          </w:p>
          <w:p w:rsidR="00205384" w:rsidRPr="005979D3" w:rsidRDefault="00205384" w:rsidP="00205384">
            <w:pPr>
              <w:jc w:val="center"/>
              <w:rPr>
                <w:sz w:val="20"/>
                <w:szCs w:val="20"/>
              </w:rPr>
            </w:pPr>
            <w:r w:rsidRPr="005979D3">
              <w:rPr>
                <w:sz w:val="20"/>
                <w:szCs w:val="20"/>
              </w:rPr>
              <w:t>№ 1</w:t>
            </w:r>
          </w:p>
        </w:tc>
        <w:tc>
          <w:tcPr>
            <w:tcW w:w="1869" w:type="dxa"/>
            <w:vAlign w:val="center"/>
          </w:tcPr>
          <w:p w:rsidR="00205384" w:rsidRPr="005979D3" w:rsidRDefault="00205384" w:rsidP="00205384">
            <w:pPr>
              <w:jc w:val="center"/>
              <w:rPr>
                <w:sz w:val="20"/>
                <w:szCs w:val="20"/>
              </w:rPr>
            </w:pPr>
            <w:r w:rsidRPr="005979D3">
              <w:rPr>
                <w:sz w:val="20"/>
                <w:szCs w:val="20"/>
              </w:rPr>
              <w:t>ЦИ</w:t>
            </w:r>
          </w:p>
          <w:p w:rsidR="00205384" w:rsidRPr="005979D3" w:rsidRDefault="00205384" w:rsidP="00205384">
            <w:pPr>
              <w:jc w:val="center"/>
              <w:rPr>
                <w:sz w:val="20"/>
                <w:szCs w:val="20"/>
              </w:rPr>
            </w:pPr>
            <w:r w:rsidRPr="005979D3">
              <w:rPr>
                <w:sz w:val="20"/>
                <w:szCs w:val="20"/>
              </w:rPr>
              <w:t>№ 2</w:t>
            </w:r>
          </w:p>
        </w:tc>
        <w:tc>
          <w:tcPr>
            <w:tcW w:w="1684" w:type="dxa"/>
            <w:vAlign w:val="center"/>
          </w:tcPr>
          <w:p w:rsidR="00205384" w:rsidRPr="005979D3" w:rsidRDefault="00205384" w:rsidP="00205384">
            <w:pPr>
              <w:jc w:val="center"/>
              <w:rPr>
                <w:sz w:val="20"/>
                <w:szCs w:val="20"/>
              </w:rPr>
            </w:pPr>
            <w:r w:rsidRPr="005979D3">
              <w:rPr>
                <w:sz w:val="20"/>
                <w:szCs w:val="20"/>
              </w:rPr>
              <w:t>ЦИ</w:t>
            </w:r>
          </w:p>
          <w:p w:rsidR="00205384" w:rsidRPr="005979D3" w:rsidRDefault="00205384" w:rsidP="00205384">
            <w:pPr>
              <w:jc w:val="center"/>
              <w:rPr>
                <w:sz w:val="20"/>
                <w:szCs w:val="20"/>
              </w:rPr>
            </w:pPr>
            <w:r w:rsidRPr="005979D3">
              <w:rPr>
                <w:sz w:val="20"/>
                <w:szCs w:val="20"/>
              </w:rPr>
              <w:t>№ 3</w:t>
            </w:r>
          </w:p>
        </w:tc>
        <w:tc>
          <w:tcPr>
            <w:tcW w:w="1195" w:type="dxa"/>
            <w:vMerge/>
            <w:vAlign w:val="center"/>
          </w:tcPr>
          <w:p w:rsidR="00205384" w:rsidRPr="005979D3" w:rsidRDefault="00205384" w:rsidP="00205384">
            <w:pPr>
              <w:jc w:val="both"/>
              <w:rPr>
                <w:sz w:val="20"/>
                <w:szCs w:val="20"/>
              </w:rPr>
            </w:pPr>
          </w:p>
        </w:tc>
      </w:tr>
      <w:tr w:rsidR="00205384" w:rsidRPr="005979D3" w:rsidTr="00205384">
        <w:trPr>
          <w:trHeight w:val="251"/>
          <w:jc w:val="center"/>
        </w:trPr>
        <w:tc>
          <w:tcPr>
            <w:tcW w:w="659" w:type="dxa"/>
            <w:vAlign w:val="center"/>
          </w:tcPr>
          <w:p w:rsidR="00205384" w:rsidRPr="005979D3" w:rsidRDefault="00205384" w:rsidP="00205384">
            <w:pPr>
              <w:jc w:val="center"/>
              <w:rPr>
                <w:sz w:val="20"/>
                <w:szCs w:val="20"/>
              </w:rPr>
            </w:pPr>
            <w:r w:rsidRPr="005979D3">
              <w:rPr>
                <w:sz w:val="20"/>
                <w:szCs w:val="20"/>
              </w:rPr>
              <w:t>1</w:t>
            </w:r>
          </w:p>
        </w:tc>
        <w:tc>
          <w:tcPr>
            <w:tcW w:w="2992" w:type="dxa"/>
            <w:vAlign w:val="center"/>
          </w:tcPr>
          <w:p w:rsidR="00205384" w:rsidRPr="005979D3" w:rsidRDefault="00205384" w:rsidP="00205384">
            <w:pPr>
              <w:jc w:val="center"/>
              <w:rPr>
                <w:sz w:val="20"/>
                <w:szCs w:val="20"/>
              </w:rPr>
            </w:pPr>
            <w:r w:rsidRPr="005979D3">
              <w:rPr>
                <w:sz w:val="20"/>
                <w:szCs w:val="20"/>
              </w:rPr>
              <w:t>2</w:t>
            </w:r>
          </w:p>
        </w:tc>
        <w:tc>
          <w:tcPr>
            <w:tcW w:w="2057" w:type="dxa"/>
          </w:tcPr>
          <w:p w:rsidR="00205384" w:rsidRPr="005979D3" w:rsidRDefault="00205384" w:rsidP="00205384">
            <w:pPr>
              <w:jc w:val="center"/>
              <w:rPr>
                <w:sz w:val="20"/>
                <w:szCs w:val="20"/>
              </w:rPr>
            </w:pPr>
            <w:r w:rsidRPr="005979D3">
              <w:rPr>
                <w:sz w:val="20"/>
                <w:szCs w:val="20"/>
              </w:rPr>
              <w:t>3</w:t>
            </w:r>
          </w:p>
        </w:tc>
        <w:tc>
          <w:tcPr>
            <w:tcW w:w="1869" w:type="dxa"/>
          </w:tcPr>
          <w:p w:rsidR="00205384" w:rsidRPr="005979D3" w:rsidRDefault="00205384" w:rsidP="00205384">
            <w:pPr>
              <w:jc w:val="center"/>
              <w:rPr>
                <w:sz w:val="20"/>
                <w:szCs w:val="20"/>
              </w:rPr>
            </w:pPr>
            <w:r w:rsidRPr="005979D3">
              <w:rPr>
                <w:sz w:val="20"/>
                <w:szCs w:val="20"/>
              </w:rPr>
              <w:t>4</w:t>
            </w:r>
          </w:p>
        </w:tc>
        <w:tc>
          <w:tcPr>
            <w:tcW w:w="1684" w:type="dxa"/>
          </w:tcPr>
          <w:p w:rsidR="00205384" w:rsidRPr="005979D3" w:rsidRDefault="00205384" w:rsidP="00205384">
            <w:pPr>
              <w:jc w:val="center"/>
              <w:rPr>
                <w:sz w:val="20"/>
                <w:szCs w:val="20"/>
              </w:rPr>
            </w:pPr>
            <w:r w:rsidRPr="005979D3">
              <w:rPr>
                <w:sz w:val="20"/>
                <w:szCs w:val="20"/>
              </w:rPr>
              <w:t>5</w:t>
            </w:r>
          </w:p>
        </w:tc>
        <w:tc>
          <w:tcPr>
            <w:tcW w:w="1195" w:type="dxa"/>
            <w:vAlign w:val="center"/>
          </w:tcPr>
          <w:p w:rsidR="00205384" w:rsidRPr="005979D3" w:rsidRDefault="00205384" w:rsidP="00205384">
            <w:pPr>
              <w:jc w:val="center"/>
              <w:rPr>
                <w:sz w:val="20"/>
                <w:szCs w:val="20"/>
              </w:rPr>
            </w:pPr>
            <w:r w:rsidRPr="005979D3">
              <w:rPr>
                <w:sz w:val="20"/>
                <w:szCs w:val="20"/>
              </w:rPr>
              <w:t>6</w:t>
            </w:r>
          </w:p>
        </w:tc>
      </w:tr>
      <w:tr w:rsidR="00205384" w:rsidRPr="005979D3" w:rsidTr="00205384">
        <w:trPr>
          <w:trHeight w:val="489"/>
          <w:jc w:val="center"/>
        </w:trPr>
        <w:tc>
          <w:tcPr>
            <w:tcW w:w="659" w:type="dxa"/>
            <w:vAlign w:val="center"/>
          </w:tcPr>
          <w:p w:rsidR="00205384" w:rsidRPr="005979D3" w:rsidRDefault="00205384" w:rsidP="00205384">
            <w:pPr>
              <w:jc w:val="center"/>
              <w:rPr>
                <w:sz w:val="20"/>
                <w:szCs w:val="20"/>
              </w:rPr>
            </w:pPr>
            <w:r>
              <w:rPr>
                <w:sz w:val="20"/>
                <w:szCs w:val="20"/>
              </w:rPr>
              <w:t>1</w:t>
            </w:r>
          </w:p>
        </w:tc>
        <w:tc>
          <w:tcPr>
            <w:tcW w:w="2992" w:type="dxa"/>
            <w:vAlign w:val="center"/>
          </w:tcPr>
          <w:p w:rsidR="00205384" w:rsidRPr="00481A3B" w:rsidRDefault="00205384" w:rsidP="00205384">
            <w:pPr>
              <w:autoSpaceDE w:val="0"/>
              <w:autoSpaceDN w:val="0"/>
              <w:adjustRightInd w:val="0"/>
              <w:rPr>
                <w:color w:val="000000"/>
                <w:sz w:val="20"/>
                <w:szCs w:val="20"/>
              </w:rPr>
            </w:pPr>
            <w:r>
              <w:rPr>
                <w:sz w:val="20"/>
                <w:szCs w:val="20"/>
              </w:rPr>
              <w:t>О</w:t>
            </w:r>
            <w:r w:rsidRPr="0085490C">
              <w:rPr>
                <w:sz w:val="20"/>
                <w:szCs w:val="20"/>
              </w:rPr>
              <w:t>казание услуг по передаче сигнала, дублирующего вывод сигнала о пожаре на пульт це</w:t>
            </w:r>
            <w:r w:rsidRPr="0085490C">
              <w:rPr>
                <w:sz w:val="20"/>
                <w:szCs w:val="20"/>
              </w:rPr>
              <w:t>н</w:t>
            </w:r>
            <w:r w:rsidRPr="0085490C">
              <w:rPr>
                <w:sz w:val="20"/>
                <w:szCs w:val="20"/>
              </w:rPr>
              <w:t>трализованного наблюдения пожарной охраны, монитори</w:t>
            </w:r>
            <w:r w:rsidRPr="0085490C">
              <w:rPr>
                <w:sz w:val="20"/>
                <w:szCs w:val="20"/>
              </w:rPr>
              <w:t>н</w:t>
            </w:r>
            <w:r w:rsidRPr="0085490C">
              <w:rPr>
                <w:sz w:val="20"/>
                <w:szCs w:val="20"/>
              </w:rPr>
              <w:t>гу, техническому обслужив</w:t>
            </w:r>
            <w:r w:rsidRPr="0085490C">
              <w:rPr>
                <w:sz w:val="20"/>
                <w:szCs w:val="20"/>
              </w:rPr>
              <w:t>а</w:t>
            </w:r>
            <w:r w:rsidRPr="0085490C">
              <w:rPr>
                <w:sz w:val="20"/>
                <w:szCs w:val="20"/>
              </w:rPr>
              <w:t>нию и ремонту объектовых оконечных приборов А</w:t>
            </w:r>
            <w:r>
              <w:rPr>
                <w:sz w:val="20"/>
                <w:szCs w:val="20"/>
              </w:rPr>
              <w:t>С</w:t>
            </w:r>
            <w:r w:rsidRPr="0085490C">
              <w:rPr>
                <w:sz w:val="20"/>
                <w:szCs w:val="20"/>
              </w:rPr>
              <w:t>ПС</w:t>
            </w:r>
          </w:p>
        </w:tc>
        <w:tc>
          <w:tcPr>
            <w:tcW w:w="2057" w:type="dxa"/>
            <w:vAlign w:val="center"/>
          </w:tcPr>
          <w:p w:rsidR="00205384" w:rsidRPr="00E428DB" w:rsidRDefault="00726C54" w:rsidP="00205384">
            <w:pPr>
              <w:jc w:val="center"/>
              <w:rPr>
                <w:sz w:val="20"/>
                <w:szCs w:val="20"/>
              </w:rPr>
            </w:pPr>
            <w:r>
              <w:rPr>
                <w:sz w:val="20"/>
                <w:szCs w:val="20"/>
              </w:rPr>
              <w:t>12 222,00</w:t>
            </w:r>
          </w:p>
        </w:tc>
        <w:tc>
          <w:tcPr>
            <w:tcW w:w="1869" w:type="dxa"/>
            <w:vAlign w:val="center"/>
          </w:tcPr>
          <w:p w:rsidR="00205384" w:rsidRPr="00E428DB" w:rsidRDefault="00726C54" w:rsidP="00205384">
            <w:pPr>
              <w:jc w:val="center"/>
              <w:rPr>
                <w:sz w:val="20"/>
                <w:szCs w:val="20"/>
              </w:rPr>
            </w:pPr>
            <w:r>
              <w:rPr>
                <w:sz w:val="20"/>
                <w:szCs w:val="20"/>
              </w:rPr>
              <w:t>14 000,00</w:t>
            </w:r>
          </w:p>
        </w:tc>
        <w:tc>
          <w:tcPr>
            <w:tcW w:w="1684" w:type="dxa"/>
            <w:vAlign w:val="center"/>
          </w:tcPr>
          <w:p w:rsidR="00205384" w:rsidRPr="00E428DB" w:rsidRDefault="00726C54" w:rsidP="00205384">
            <w:pPr>
              <w:jc w:val="center"/>
              <w:rPr>
                <w:sz w:val="20"/>
                <w:szCs w:val="20"/>
              </w:rPr>
            </w:pPr>
            <w:r>
              <w:rPr>
                <w:sz w:val="20"/>
                <w:szCs w:val="20"/>
              </w:rPr>
              <w:t>11 900,00</w:t>
            </w:r>
          </w:p>
        </w:tc>
        <w:tc>
          <w:tcPr>
            <w:tcW w:w="1195" w:type="dxa"/>
            <w:vAlign w:val="center"/>
          </w:tcPr>
          <w:p w:rsidR="00205384" w:rsidRPr="00D3370C" w:rsidRDefault="00726C54" w:rsidP="00205384">
            <w:pPr>
              <w:jc w:val="center"/>
              <w:rPr>
                <w:sz w:val="20"/>
                <w:szCs w:val="20"/>
              </w:rPr>
            </w:pPr>
            <w:r>
              <w:rPr>
                <w:sz w:val="20"/>
                <w:szCs w:val="20"/>
              </w:rPr>
              <w:t>10</w:t>
            </w:r>
          </w:p>
        </w:tc>
      </w:tr>
    </w:tbl>
    <w:p w:rsidR="00205384" w:rsidRPr="004F1FFF" w:rsidRDefault="00205384" w:rsidP="00205384">
      <w:pPr>
        <w:pStyle w:val="af7"/>
        <w:tabs>
          <w:tab w:val="left" w:pos="284"/>
          <w:tab w:val="left" w:pos="4335"/>
        </w:tabs>
        <w:ind w:left="0"/>
        <w:jc w:val="both"/>
        <w:rPr>
          <w:sz w:val="14"/>
        </w:rPr>
      </w:pPr>
    </w:p>
    <w:p w:rsidR="00205384" w:rsidRPr="00394B9F" w:rsidRDefault="00205384" w:rsidP="00205384">
      <w:pPr>
        <w:rPr>
          <w:sz w:val="20"/>
        </w:rPr>
      </w:pPr>
      <w:r w:rsidRPr="00394B9F">
        <w:rPr>
          <w:sz w:val="20"/>
        </w:rPr>
        <w:t>Расчет</w:t>
      </w:r>
    </w:p>
    <w:p w:rsidR="00205384" w:rsidRDefault="00205384" w:rsidP="00205384">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r>
              <m:rPr>
                <m:sty m:val="p"/>
              </m:rPr>
              <w:rPr>
                <w:rFonts w:ascii="Cambria Math"/>
                <w:sz w:val="20"/>
              </w:rPr>
              <m:t>0</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hAnsi="Cambria Math"/>
                    <w:sz w:val="20"/>
                  </w:rPr>
                  <m:t>12 222,00+14 000,00+11 900,00</m:t>
                </m:r>
              </m:e>
            </m:d>
            <m:r>
              <m:rPr>
                <m:sty m:val="p"/>
              </m:rPr>
              <w:rPr>
                <w:rFonts w:ascii="Cambria Math"/>
                <w:sz w:val="20"/>
              </w:rPr>
              <m:t>=</m:t>
            </m:r>
            <m:r>
              <m:rPr>
                <m:sty m:val="p"/>
              </m:rPr>
              <w:rPr>
                <w:rFonts w:ascii="Cambria Math"/>
                <w:sz w:val="20"/>
              </w:rPr>
              <m:t>127</m:t>
            </m:r>
            <m:r>
              <m:rPr>
                <m:sty m:val="p"/>
              </m:rPr>
              <w:rPr>
                <w:rFonts w:ascii="Cambria Math"/>
                <w:sz w:val="20"/>
              </w:rPr>
              <m:t> </m:t>
            </m:r>
            <m:r>
              <m:rPr>
                <m:sty m:val="p"/>
              </m:rPr>
              <w:rPr>
                <w:rFonts w:ascii="Cambria Math"/>
                <w:sz w:val="20"/>
              </w:rPr>
              <m:t>073,30</m:t>
            </m:r>
            <m:r>
              <m:rPr>
                <m:sty m:val="p"/>
              </m:rPr>
              <w:rPr>
                <w:rFonts w:ascii="Cambria Math"/>
                <w:sz w:val="20"/>
              </w:rPr>
              <m:t xml:space="preserve"> </m:t>
            </m:r>
            <m:r>
              <m:rPr>
                <m:sty m:val="p"/>
              </m:rPr>
              <w:rPr>
                <w:rFonts w:ascii="Cambria Math" w:hAnsi="Cambria Math"/>
                <w:sz w:val="20"/>
              </w:rPr>
              <m:t>руб</m:t>
            </m:r>
            <m:r>
              <m:rPr>
                <m:sty m:val="p"/>
              </m:rPr>
              <w:rPr>
                <w:rFonts w:ascii="Cambria Math"/>
                <w:sz w:val="20"/>
              </w:rPr>
              <m:t>.</m:t>
            </m:r>
          </m:e>
        </m:nary>
      </m:oMath>
    </w:p>
    <w:p w:rsidR="00205384" w:rsidRPr="004F1FFF" w:rsidRDefault="00205384" w:rsidP="00205384">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205384" w:rsidRPr="00307214" w:rsidTr="00205384">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205384" w:rsidRPr="00307214" w:rsidRDefault="00205384" w:rsidP="00205384">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205384" w:rsidRPr="00307214" w:rsidRDefault="00205384" w:rsidP="00205384">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5384" w:rsidRPr="00307214" w:rsidRDefault="00205384" w:rsidP="00205384">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384" w:rsidRPr="00307214" w:rsidRDefault="00205384" w:rsidP="00205384">
            <w:pPr>
              <w:jc w:val="center"/>
              <w:rPr>
                <w:sz w:val="20"/>
                <w:szCs w:val="20"/>
              </w:rPr>
            </w:pPr>
            <w:r w:rsidRPr="00307214">
              <w:rPr>
                <w:sz w:val="20"/>
                <w:szCs w:val="20"/>
              </w:rPr>
              <w:t>Расчетный размер начальной (максимальной) цены, руб.</w:t>
            </w:r>
          </w:p>
        </w:tc>
      </w:tr>
      <w:tr w:rsidR="00205384" w:rsidRPr="00307214" w:rsidTr="00205384">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205384" w:rsidRPr="00481A3B" w:rsidRDefault="00205384" w:rsidP="00205384">
            <w:pPr>
              <w:autoSpaceDE w:val="0"/>
              <w:autoSpaceDN w:val="0"/>
              <w:adjustRightInd w:val="0"/>
              <w:rPr>
                <w:color w:val="000000"/>
                <w:sz w:val="20"/>
                <w:szCs w:val="20"/>
              </w:rPr>
            </w:pPr>
            <w:r>
              <w:rPr>
                <w:bCs/>
                <w:sz w:val="20"/>
                <w:szCs w:val="20"/>
              </w:rPr>
              <w:t>О</w:t>
            </w:r>
            <w:r w:rsidRPr="006A14D6">
              <w:rPr>
                <w:bCs/>
                <w:sz w:val="20"/>
                <w:szCs w:val="20"/>
              </w:rPr>
              <w:t xml:space="preserve">казание услуг </w:t>
            </w:r>
            <w:r>
              <w:rPr>
                <w:bCs/>
                <w:sz w:val="20"/>
                <w:szCs w:val="20"/>
              </w:rPr>
              <w:t>по комплексному техническому обслуживанию и р</w:t>
            </w:r>
            <w:r>
              <w:rPr>
                <w:bCs/>
                <w:sz w:val="20"/>
                <w:szCs w:val="20"/>
              </w:rPr>
              <w:t>е</w:t>
            </w:r>
            <w:r>
              <w:rPr>
                <w:bCs/>
                <w:sz w:val="20"/>
                <w:szCs w:val="20"/>
              </w:rPr>
              <w:t>монту систем безопасности</w:t>
            </w:r>
          </w:p>
        </w:tc>
        <w:tc>
          <w:tcPr>
            <w:tcW w:w="1475" w:type="dxa"/>
            <w:tcBorders>
              <w:top w:val="single" w:sz="4" w:space="0" w:color="auto"/>
              <w:left w:val="single" w:sz="4" w:space="0" w:color="auto"/>
              <w:bottom w:val="single" w:sz="4" w:space="0" w:color="auto"/>
              <w:right w:val="single" w:sz="4" w:space="0" w:color="auto"/>
            </w:tcBorders>
            <w:vAlign w:val="center"/>
            <w:hideMark/>
          </w:tcPr>
          <w:p w:rsidR="00205384" w:rsidRPr="00D3370C" w:rsidRDefault="00205384" w:rsidP="00726C54">
            <w:pPr>
              <w:jc w:val="center"/>
              <w:rPr>
                <w:sz w:val="20"/>
                <w:szCs w:val="20"/>
              </w:rPr>
            </w:pPr>
            <w:r>
              <w:rPr>
                <w:sz w:val="20"/>
                <w:szCs w:val="20"/>
              </w:rPr>
              <w:t>1</w:t>
            </w:r>
            <w:r w:rsidR="00726C54">
              <w:rPr>
                <w:sz w:val="20"/>
                <w:szCs w:val="20"/>
              </w:rPr>
              <w:t>0</w:t>
            </w:r>
            <w:r>
              <w:rPr>
                <w:sz w:val="20"/>
                <w:szCs w:val="20"/>
              </w:rPr>
              <w:t xml:space="preserve"> месяцев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5384" w:rsidRPr="00E428DB" w:rsidRDefault="00726C54" w:rsidP="00205384">
            <w:pPr>
              <w:jc w:val="center"/>
              <w:rPr>
                <w:sz w:val="20"/>
                <w:szCs w:val="20"/>
              </w:rPr>
            </w:pPr>
            <w:r>
              <w:rPr>
                <w:sz w:val="20"/>
                <w:szCs w:val="20"/>
              </w:rPr>
              <w:t>12 707,33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384" w:rsidRPr="00E428DB" w:rsidRDefault="00726C54" w:rsidP="00205384">
            <w:pPr>
              <w:jc w:val="center"/>
              <w:rPr>
                <w:color w:val="000000"/>
                <w:sz w:val="20"/>
                <w:szCs w:val="20"/>
              </w:rPr>
            </w:pPr>
            <w:r>
              <w:rPr>
                <w:color w:val="000000"/>
                <w:sz w:val="20"/>
                <w:szCs w:val="20"/>
              </w:rPr>
              <w:t>127 073,30</w:t>
            </w:r>
          </w:p>
        </w:tc>
      </w:tr>
      <w:tr w:rsidR="00205384" w:rsidRPr="00307214" w:rsidTr="00205384">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205384" w:rsidRPr="00307214" w:rsidRDefault="00205384" w:rsidP="00205384">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384" w:rsidRPr="00307214" w:rsidRDefault="00726C54" w:rsidP="00205384">
            <w:pPr>
              <w:jc w:val="center"/>
              <w:rPr>
                <w:b/>
                <w:sz w:val="20"/>
                <w:szCs w:val="20"/>
              </w:rPr>
            </w:pPr>
            <w:r>
              <w:rPr>
                <w:b/>
                <w:sz w:val="20"/>
                <w:szCs w:val="20"/>
              </w:rPr>
              <w:t>127 073,30</w:t>
            </w:r>
          </w:p>
        </w:tc>
      </w:tr>
    </w:tbl>
    <w:p w:rsidR="00205384" w:rsidRPr="00BC40BC" w:rsidRDefault="00205384" w:rsidP="00205384">
      <w:pPr>
        <w:pStyle w:val="af7"/>
        <w:tabs>
          <w:tab w:val="left" w:pos="284"/>
          <w:tab w:val="left" w:pos="4335"/>
        </w:tabs>
        <w:ind w:left="0"/>
        <w:jc w:val="both"/>
        <w:rPr>
          <w:bCs/>
          <w:color w:val="000000"/>
          <w:sz w:val="20"/>
          <w:szCs w:val="20"/>
        </w:rPr>
      </w:pPr>
    </w:p>
    <w:p w:rsidR="00205384" w:rsidRDefault="00205384" w:rsidP="00205384">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726C54">
        <w:rPr>
          <w:b/>
          <w:color w:val="FF0000"/>
          <w:sz w:val="20"/>
        </w:rPr>
        <w:t>127 073,30</w:t>
      </w:r>
      <w:r w:rsidRPr="00E428DB">
        <w:rPr>
          <w:b/>
          <w:color w:val="FF0000"/>
          <w:sz w:val="20"/>
        </w:rPr>
        <w:t xml:space="preserve"> рубл</w:t>
      </w:r>
      <w:r w:rsidR="00726C54">
        <w:rPr>
          <w:b/>
          <w:color w:val="FF0000"/>
          <w:sz w:val="20"/>
        </w:rPr>
        <w:t>я</w:t>
      </w:r>
      <w:r w:rsidRPr="00E428DB">
        <w:rPr>
          <w:sz w:val="20"/>
        </w:rPr>
        <w:t xml:space="preserve"> (</w:t>
      </w:r>
      <w:r w:rsidR="00726C54">
        <w:rPr>
          <w:sz w:val="20"/>
        </w:rPr>
        <w:t>сто двадцать семь</w:t>
      </w:r>
      <w:r w:rsidRPr="00E428DB">
        <w:rPr>
          <w:sz w:val="20"/>
        </w:rPr>
        <w:t xml:space="preserve"> тысяч </w:t>
      </w:r>
      <w:r w:rsidR="00726C54">
        <w:rPr>
          <w:sz w:val="20"/>
        </w:rPr>
        <w:t>семьдесят три</w:t>
      </w:r>
      <w:r w:rsidRPr="00E428DB">
        <w:rPr>
          <w:sz w:val="20"/>
        </w:rPr>
        <w:t xml:space="preserve"> рубл</w:t>
      </w:r>
      <w:r w:rsidR="00726C54">
        <w:rPr>
          <w:sz w:val="20"/>
        </w:rPr>
        <w:t>я</w:t>
      </w:r>
      <w:r w:rsidRPr="00E428DB">
        <w:rPr>
          <w:sz w:val="20"/>
        </w:rPr>
        <w:t xml:space="preserve"> </w:t>
      </w:r>
      <w:r w:rsidR="00726C54">
        <w:rPr>
          <w:sz w:val="20"/>
        </w:rPr>
        <w:t>30</w:t>
      </w:r>
      <w:r w:rsidRPr="00E428DB">
        <w:rPr>
          <w:sz w:val="20"/>
        </w:rPr>
        <w:t xml:space="preserve"> коп</w:t>
      </w:r>
      <w:r w:rsidRPr="00E428DB">
        <w:rPr>
          <w:sz w:val="20"/>
        </w:rPr>
        <w:t>е</w:t>
      </w:r>
      <w:r w:rsidRPr="00E428DB">
        <w:rPr>
          <w:sz w:val="20"/>
        </w:rPr>
        <w:t>ек).</w:t>
      </w:r>
    </w:p>
    <w:p w:rsidR="00726C54" w:rsidRDefault="00726C54" w:rsidP="00205384">
      <w:pPr>
        <w:pStyle w:val="af7"/>
        <w:tabs>
          <w:tab w:val="left" w:pos="284"/>
          <w:tab w:val="left" w:pos="4335"/>
        </w:tabs>
        <w:ind w:left="0"/>
        <w:jc w:val="both"/>
        <w:rPr>
          <w:sz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lastRenderedPageBreak/>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lastRenderedPageBreak/>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lastRenderedPageBreak/>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726C54">
        <w:rPr>
          <w:b/>
          <w:sz w:val="20"/>
          <w:szCs w:val="20"/>
        </w:rPr>
        <w:t>24</w:t>
      </w:r>
      <w:r w:rsidRPr="006A14D6">
        <w:rPr>
          <w:b/>
          <w:sz w:val="20"/>
          <w:szCs w:val="20"/>
        </w:rPr>
        <w:t xml:space="preserve">» </w:t>
      </w:r>
      <w:r w:rsidR="00726C54">
        <w:rPr>
          <w:b/>
          <w:sz w:val="20"/>
          <w:szCs w:val="20"/>
        </w:rPr>
        <w:t>февраля</w:t>
      </w:r>
      <w:r w:rsidRPr="006A14D6">
        <w:rPr>
          <w:b/>
          <w:sz w:val="20"/>
          <w:szCs w:val="20"/>
        </w:rPr>
        <w:t xml:space="preserve"> 20</w:t>
      </w:r>
      <w:r w:rsidR="00B340D7">
        <w:rPr>
          <w:b/>
          <w:sz w:val="20"/>
          <w:szCs w:val="20"/>
        </w:rPr>
        <w:t>2</w:t>
      </w:r>
      <w:r w:rsidR="00726C54">
        <w:rPr>
          <w:b/>
          <w:sz w:val="20"/>
          <w:szCs w:val="20"/>
        </w:rPr>
        <w:t>2</w:t>
      </w:r>
      <w:r w:rsidRPr="006A14D6">
        <w:rPr>
          <w:b/>
          <w:sz w:val="20"/>
          <w:szCs w:val="20"/>
        </w:rPr>
        <w:t xml:space="preserve"> г. с 0</w:t>
      </w:r>
      <w:r w:rsidR="00980513">
        <w:rPr>
          <w:b/>
          <w:sz w:val="20"/>
          <w:szCs w:val="20"/>
        </w:rPr>
        <w:t>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726C54">
        <w:rPr>
          <w:b/>
          <w:sz w:val="20"/>
          <w:szCs w:val="20"/>
        </w:rPr>
        <w:t>03</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726C54">
        <w:rPr>
          <w:b/>
          <w:sz w:val="20"/>
          <w:szCs w:val="20"/>
        </w:rPr>
        <w:t>2</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726C54">
        <w:rPr>
          <w:b/>
          <w:sz w:val="20"/>
          <w:szCs w:val="20"/>
        </w:rPr>
        <w:t>24</w:t>
      </w:r>
      <w:r w:rsidRPr="006A14D6">
        <w:rPr>
          <w:b/>
          <w:sz w:val="20"/>
          <w:szCs w:val="20"/>
        </w:rPr>
        <w:t xml:space="preserve">» </w:t>
      </w:r>
      <w:r w:rsidR="00726C54">
        <w:rPr>
          <w:b/>
          <w:sz w:val="20"/>
          <w:szCs w:val="20"/>
        </w:rPr>
        <w:t>февраля</w:t>
      </w:r>
      <w:r w:rsidR="00980513">
        <w:rPr>
          <w:b/>
          <w:sz w:val="20"/>
          <w:szCs w:val="20"/>
        </w:rPr>
        <w:t xml:space="preserve"> </w:t>
      </w:r>
      <w:r w:rsidRPr="006A14D6">
        <w:rPr>
          <w:b/>
          <w:sz w:val="20"/>
          <w:szCs w:val="20"/>
        </w:rPr>
        <w:t>20</w:t>
      </w:r>
      <w:r w:rsidR="00B340D7">
        <w:rPr>
          <w:b/>
          <w:sz w:val="20"/>
          <w:szCs w:val="20"/>
        </w:rPr>
        <w:t>2</w:t>
      </w:r>
      <w:r w:rsidR="00726C54">
        <w:rPr>
          <w:b/>
          <w:sz w:val="20"/>
          <w:szCs w:val="20"/>
        </w:rPr>
        <w:t>2</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726C54">
        <w:rPr>
          <w:b/>
          <w:sz w:val="20"/>
          <w:szCs w:val="20"/>
        </w:rPr>
        <w:t>28</w:t>
      </w:r>
      <w:r w:rsidRPr="006A14D6">
        <w:rPr>
          <w:b/>
          <w:sz w:val="20"/>
          <w:szCs w:val="20"/>
        </w:rPr>
        <w:t xml:space="preserve">» </w:t>
      </w:r>
      <w:r w:rsidR="00726C54">
        <w:rPr>
          <w:b/>
          <w:sz w:val="20"/>
          <w:szCs w:val="20"/>
        </w:rPr>
        <w:t>февраля</w:t>
      </w:r>
      <w:r w:rsidRPr="006A14D6">
        <w:rPr>
          <w:b/>
          <w:sz w:val="20"/>
          <w:szCs w:val="20"/>
        </w:rPr>
        <w:t xml:space="preserve"> 20</w:t>
      </w:r>
      <w:r w:rsidR="00B340D7">
        <w:rPr>
          <w:b/>
          <w:sz w:val="20"/>
          <w:szCs w:val="20"/>
        </w:rPr>
        <w:t>2</w:t>
      </w:r>
      <w:r w:rsidR="00726C54">
        <w:rPr>
          <w:b/>
          <w:sz w:val="20"/>
          <w:szCs w:val="20"/>
        </w:rPr>
        <w:t>2</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726C54">
        <w:rPr>
          <w:b/>
          <w:sz w:val="20"/>
          <w:szCs w:val="20"/>
        </w:rPr>
        <w:t>04</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726C54">
        <w:rPr>
          <w:b/>
          <w:sz w:val="20"/>
          <w:szCs w:val="20"/>
        </w:rPr>
        <w:t>2</w:t>
      </w:r>
      <w:r w:rsidR="00B340D7">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lastRenderedPageBreak/>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lastRenderedPageBreak/>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lastRenderedPageBreak/>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980513" w:rsidRDefault="00980513" w:rsidP="004D78DF">
      <w:pPr>
        <w:tabs>
          <w:tab w:val="left" w:pos="720"/>
        </w:tabs>
        <w:jc w:val="both"/>
        <w:rPr>
          <w:sz w:val="20"/>
          <w:szCs w:val="20"/>
        </w:rPr>
      </w:pPr>
    </w:p>
    <w:p w:rsidR="004D78DF" w:rsidRPr="006A14D6" w:rsidRDefault="00980513" w:rsidP="004D78DF">
      <w:pPr>
        <w:tabs>
          <w:tab w:val="left" w:pos="720"/>
        </w:tabs>
        <w:jc w:val="both"/>
        <w:rPr>
          <w:sz w:val="20"/>
          <w:szCs w:val="20"/>
        </w:rPr>
      </w:pPr>
      <w:r>
        <w:rPr>
          <w:sz w:val="20"/>
          <w:szCs w:val="20"/>
        </w:rPr>
        <w:t xml:space="preserve">Начальник штаба </w:t>
      </w:r>
      <w:proofErr w:type="spellStart"/>
      <w:r>
        <w:rPr>
          <w:sz w:val="20"/>
          <w:szCs w:val="20"/>
        </w:rPr>
        <w:t>ГОиЧС</w:t>
      </w:r>
      <w:proofErr w:type="spellEnd"/>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Default="004D78DF" w:rsidP="004D78DF">
      <w:pPr>
        <w:tabs>
          <w:tab w:val="left" w:pos="720"/>
        </w:tabs>
        <w:jc w:val="both"/>
        <w:rPr>
          <w:sz w:val="20"/>
          <w:szCs w:val="20"/>
        </w:rPr>
      </w:pPr>
    </w:p>
    <w:p w:rsidR="00726C54" w:rsidRDefault="00726C54" w:rsidP="004D78DF">
      <w:pPr>
        <w:tabs>
          <w:tab w:val="left" w:pos="720"/>
        </w:tabs>
        <w:jc w:val="both"/>
        <w:rPr>
          <w:sz w:val="20"/>
          <w:szCs w:val="20"/>
        </w:rPr>
      </w:pPr>
      <w:r>
        <w:rPr>
          <w:sz w:val="20"/>
          <w:szCs w:val="20"/>
        </w:rPr>
        <w:t>Главный экономист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726C54" w:rsidRPr="006A14D6" w:rsidRDefault="00726C54" w:rsidP="004D78DF">
      <w:pPr>
        <w:tabs>
          <w:tab w:val="left" w:pos="720"/>
        </w:tabs>
        <w:jc w:val="both"/>
        <w:rPr>
          <w:sz w:val="20"/>
          <w:szCs w:val="20"/>
        </w:rPr>
      </w:pPr>
    </w:p>
    <w:p w:rsidR="004D78DF" w:rsidRDefault="00726C54" w:rsidP="004D78DF">
      <w:pPr>
        <w:tabs>
          <w:tab w:val="left" w:pos="720"/>
        </w:tabs>
        <w:jc w:val="both"/>
        <w:rPr>
          <w:sz w:val="20"/>
          <w:szCs w:val="20"/>
        </w:rPr>
      </w:pPr>
      <w:r>
        <w:rPr>
          <w:sz w:val="20"/>
          <w:szCs w:val="20"/>
        </w:rPr>
        <w:t xml:space="preserve">Начальник </w:t>
      </w:r>
      <w:r w:rsidR="004D78DF" w:rsidRPr="006A14D6">
        <w:rPr>
          <w:sz w:val="20"/>
          <w:szCs w:val="20"/>
        </w:rPr>
        <w:t>КС</w:t>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Pr>
          <w:sz w:val="20"/>
          <w:szCs w:val="20"/>
        </w:rPr>
        <w:t>Г.Д. Лобова</w:t>
      </w:r>
    </w:p>
    <w:p w:rsidR="00C13678" w:rsidRDefault="00C13678"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3F4FCF" w:rsidRDefault="003F4FCF"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Default="00726C54" w:rsidP="004D78DF">
      <w:pPr>
        <w:tabs>
          <w:tab w:val="left" w:pos="720"/>
        </w:tabs>
        <w:jc w:val="both"/>
        <w:rPr>
          <w:sz w:val="20"/>
          <w:szCs w:val="20"/>
        </w:rPr>
      </w:pPr>
    </w:p>
    <w:p w:rsidR="00726C54" w:rsidRPr="006A14D6" w:rsidRDefault="00726C54"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3F4FCF">
        <w:rPr>
          <w:sz w:val="20"/>
          <w:szCs w:val="20"/>
        </w:rPr>
        <w:t>13</w:t>
      </w:r>
      <w:r w:rsidRPr="006A14D6">
        <w:rPr>
          <w:sz w:val="20"/>
          <w:szCs w:val="20"/>
        </w:rPr>
        <w:t>-ЗК от «</w:t>
      </w:r>
      <w:r w:rsidR="003F4FCF">
        <w:rPr>
          <w:sz w:val="20"/>
          <w:szCs w:val="20"/>
        </w:rPr>
        <w:t>22</w:t>
      </w:r>
      <w:r w:rsidRPr="006A14D6">
        <w:rPr>
          <w:sz w:val="20"/>
          <w:szCs w:val="20"/>
        </w:rPr>
        <w:t xml:space="preserve">» </w:t>
      </w:r>
      <w:r w:rsidR="003F4FCF">
        <w:rPr>
          <w:sz w:val="20"/>
          <w:szCs w:val="20"/>
        </w:rPr>
        <w:t>февраля</w:t>
      </w:r>
      <w:r w:rsidRPr="006A14D6">
        <w:rPr>
          <w:sz w:val="20"/>
          <w:szCs w:val="20"/>
        </w:rPr>
        <w:t xml:space="preserve"> 20</w:t>
      </w:r>
      <w:r w:rsidR="00B340D7">
        <w:rPr>
          <w:sz w:val="20"/>
          <w:szCs w:val="20"/>
        </w:rPr>
        <w:t>2</w:t>
      </w:r>
      <w:r w:rsidR="003F4FCF">
        <w:rPr>
          <w:sz w:val="20"/>
          <w:szCs w:val="20"/>
        </w:rPr>
        <w:t>2</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66CD8" w:rsidRPr="006A14D6">
        <w:rPr>
          <w:bCs/>
          <w:sz w:val="20"/>
          <w:szCs w:val="20"/>
        </w:rPr>
        <w:t>услуг</w:t>
      </w:r>
      <w:r w:rsidR="00266CD8">
        <w:rPr>
          <w:bCs/>
          <w:sz w:val="20"/>
          <w:szCs w:val="20"/>
        </w:rPr>
        <w:t>и</w:t>
      </w:r>
      <w:r w:rsidR="00266CD8" w:rsidRPr="006A14D6">
        <w:rPr>
          <w:bCs/>
          <w:sz w:val="20"/>
          <w:szCs w:val="20"/>
        </w:rPr>
        <w:t xml:space="preserve"> </w:t>
      </w:r>
      <w:r w:rsidR="00C13678" w:rsidRPr="0085490C">
        <w:rPr>
          <w:sz w:val="20"/>
          <w:szCs w:val="20"/>
        </w:rPr>
        <w:t>по перед</w:t>
      </w:r>
      <w:r w:rsidR="00C13678" w:rsidRPr="0085490C">
        <w:rPr>
          <w:sz w:val="20"/>
          <w:szCs w:val="20"/>
        </w:rPr>
        <w:t>а</w:t>
      </w:r>
      <w:r w:rsidR="00C13678" w:rsidRPr="0085490C">
        <w:rPr>
          <w:sz w:val="20"/>
          <w:szCs w:val="20"/>
        </w:rPr>
        <w:t>че сигнала, дублирующего вывод сигнала о пожаре на пульт централизованного наблюдения пожарной охраны, мон</w:t>
      </w:r>
      <w:r w:rsidR="00C13678" w:rsidRPr="0085490C">
        <w:rPr>
          <w:sz w:val="20"/>
          <w:szCs w:val="20"/>
        </w:rPr>
        <w:t>и</w:t>
      </w:r>
      <w:r w:rsidR="00C13678" w:rsidRPr="0085490C">
        <w:rPr>
          <w:sz w:val="20"/>
          <w:szCs w:val="20"/>
        </w:rPr>
        <w:t>торингу, техническому обслуживанию и ремонту объектовых оконечных приборов АСПС</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3F4FCF">
        <w:rPr>
          <w:bCs/>
          <w:sz w:val="20"/>
          <w:szCs w:val="20"/>
          <w:u w:val="single"/>
        </w:rPr>
        <w:t>2022</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3F4FCF">
        <w:rPr>
          <w:b/>
          <w:color w:val="FF0000"/>
          <w:sz w:val="20"/>
          <w:szCs w:val="20"/>
        </w:rPr>
        <w:t>13</w:t>
      </w:r>
      <w:r w:rsidRPr="00F80490">
        <w:rPr>
          <w:b/>
          <w:color w:val="FF0000"/>
          <w:sz w:val="20"/>
          <w:szCs w:val="20"/>
        </w:rPr>
        <w:t xml:space="preserve">-ЗК от </w:t>
      </w:r>
      <w:r w:rsidR="003F4FCF">
        <w:rPr>
          <w:b/>
          <w:color w:val="FF0000"/>
          <w:sz w:val="20"/>
          <w:szCs w:val="20"/>
        </w:rPr>
        <w:t>22</w:t>
      </w:r>
      <w:r w:rsidRPr="00F80490">
        <w:rPr>
          <w:b/>
          <w:color w:val="FF0000"/>
          <w:sz w:val="20"/>
          <w:szCs w:val="20"/>
        </w:rPr>
        <w:t>.</w:t>
      </w:r>
      <w:r>
        <w:rPr>
          <w:b/>
          <w:color w:val="FF0000"/>
          <w:sz w:val="20"/>
          <w:szCs w:val="20"/>
        </w:rPr>
        <w:t>0</w:t>
      </w:r>
      <w:r w:rsidR="003F4FCF">
        <w:rPr>
          <w:b/>
          <w:color w:val="FF0000"/>
          <w:sz w:val="20"/>
          <w:szCs w:val="20"/>
        </w:rPr>
        <w:t>2</w:t>
      </w:r>
      <w:r w:rsidRPr="00F80490">
        <w:rPr>
          <w:b/>
          <w:color w:val="FF0000"/>
          <w:sz w:val="20"/>
          <w:szCs w:val="20"/>
        </w:rPr>
        <w:t>.20</w:t>
      </w:r>
      <w:r>
        <w:rPr>
          <w:b/>
          <w:color w:val="FF0000"/>
          <w:sz w:val="20"/>
          <w:szCs w:val="20"/>
        </w:rPr>
        <w:t>2</w:t>
      </w:r>
      <w:r w:rsidR="003F4FCF">
        <w:rPr>
          <w:b/>
          <w:color w:val="FF0000"/>
          <w:sz w:val="20"/>
          <w:szCs w:val="20"/>
        </w:rPr>
        <w:t>2</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3F4FCF">
        <w:rPr>
          <w:sz w:val="20"/>
          <w:szCs w:val="20"/>
        </w:rPr>
        <w:t>13</w:t>
      </w:r>
      <w:r w:rsidRPr="006A14D6">
        <w:rPr>
          <w:sz w:val="20"/>
          <w:szCs w:val="20"/>
        </w:rPr>
        <w:t>-ЗК от «</w:t>
      </w:r>
      <w:r w:rsidR="003F4FCF">
        <w:rPr>
          <w:sz w:val="20"/>
          <w:szCs w:val="20"/>
        </w:rPr>
        <w:t>22</w:t>
      </w:r>
      <w:r>
        <w:rPr>
          <w:sz w:val="20"/>
          <w:szCs w:val="20"/>
        </w:rPr>
        <w:t xml:space="preserve">» </w:t>
      </w:r>
      <w:r w:rsidR="003F4FCF">
        <w:rPr>
          <w:sz w:val="20"/>
          <w:szCs w:val="20"/>
        </w:rPr>
        <w:t>февраля</w:t>
      </w:r>
      <w:r w:rsidRPr="006A14D6">
        <w:rPr>
          <w:sz w:val="20"/>
          <w:szCs w:val="20"/>
        </w:rPr>
        <w:t xml:space="preserve"> 20</w:t>
      </w:r>
      <w:r>
        <w:rPr>
          <w:sz w:val="20"/>
          <w:szCs w:val="20"/>
        </w:rPr>
        <w:t>2</w:t>
      </w:r>
      <w:r w:rsidR="003F4FCF">
        <w:rPr>
          <w:sz w:val="20"/>
          <w:szCs w:val="20"/>
        </w:rPr>
        <w:t xml:space="preserve">2 </w:t>
      </w:r>
      <w:r w:rsidRPr="006A14D6">
        <w:rPr>
          <w:sz w:val="20"/>
          <w:szCs w:val="20"/>
        </w:rPr>
        <w:t xml:space="preserve">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3F4FCF"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69" w:rsidRDefault="001E4C69">
      <w:r>
        <w:separator/>
      </w:r>
    </w:p>
  </w:endnote>
  <w:endnote w:type="continuationSeparator" w:id="0">
    <w:p w:rsidR="001E4C69" w:rsidRDefault="001E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4" w:rsidRDefault="00205384"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F4FCF">
      <w:rPr>
        <w:rStyle w:val="ae"/>
        <w:noProof/>
      </w:rPr>
      <w:t>11</w:t>
    </w:r>
    <w:r>
      <w:rPr>
        <w:rStyle w:val="ae"/>
      </w:rPr>
      <w:fldChar w:fldCharType="end"/>
    </w:r>
  </w:p>
  <w:p w:rsidR="00205384" w:rsidRDefault="0020538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69" w:rsidRDefault="001E4C69">
      <w:r>
        <w:separator/>
      </w:r>
    </w:p>
  </w:footnote>
  <w:footnote w:type="continuationSeparator" w:id="0">
    <w:p w:rsidR="001E4C69" w:rsidRDefault="001E4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0"/>
  </w:num>
  <w:num w:numId="3">
    <w:abstractNumId w:val="8"/>
  </w:num>
  <w:num w:numId="4">
    <w:abstractNumId w:val="6"/>
  </w:num>
  <w:num w:numId="5">
    <w:abstractNumId w:val="4"/>
  </w:num>
  <w:num w:numId="6">
    <w:abstractNumId w:val="27"/>
  </w:num>
  <w:num w:numId="7">
    <w:abstractNumId w:val="25"/>
  </w:num>
  <w:num w:numId="8">
    <w:abstractNumId w:val="29"/>
  </w:num>
  <w:num w:numId="9">
    <w:abstractNumId w:val="31"/>
  </w:num>
  <w:num w:numId="10">
    <w:abstractNumId w:val="0"/>
  </w:num>
  <w:num w:numId="11">
    <w:abstractNumId w:val="9"/>
  </w:num>
  <w:num w:numId="12">
    <w:abstractNumId w:val="17"/>
  </w:num>
  <w:num w:numId="13">
    <w:abstractNumId w:val="7"/>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4"/>
  </w:num>
  <w:num w:numId="19">
    <w:abstractNumId w:val="13"/>
  </w:num>
  <w:num w:numId="20">
    <w:abstractNumId w:val="37"/>
  </w:num>
  <w:num w:numId="21">
    <w:abstractNumId w:val="16"/>
  </w:num>
  <w:num w:numId="22">
    <w:abstractNumId w:val="32"/>
  </w:num>
  <w:num w:numId="23">
    <w:abstractNumId w:val="34"/>
  </w:num>
  <w:num w:numId="24">
    <w:abstractNumId w:val="15"/>
  </w:num>
  <w:num w:numId="25">
    <w:abstractNumId w:val="28"/>
  </w:num>
  <w:num w:numId="26">
    <w:abstractNumId w:val="36"/>
  </w:num>
  <w:num w:numId="27">
    <w:abstractNumId w:val="35"/>
  </w:num>
  <w:num w:numId="28">
    <w:abstractNumId w:val="18"/>
  </w:num>
  <w:num w:numId="29">
    <w:abstractNumId w:val="11"/>
  </w:num>
  <w:num w:numId="30">
    <w:abstractNumId w:val="3"/>
  </w:num>
  <w:num w:numId="31">
    <w:abstractNumId w:val="33"/>
  </w:num>
  <w:num w:numId="32">
    <w:abstractNumId w:val="10"/>
  </w:num>
  <w:num w:numId="33">
    <w:abstractNumId w:val="19"/>
  </w:num>
  <w:num w:numId="34">
    <w:abstractNumId w:val="22"/>
  </w:num>
  <w:num w:numId="35">
    <w:abstractNumId w:val="12"/>
  </w:num>
  <w:num w:numId="36">
    <w:abstractNumId w:val="5"/>
  </w:num>
  <w:num w:numId="37">
    <w:abstractNumId w:val="14"/>
  </w:num>
  <w:num w:numId="38">
    <w:abstractNumId w:val="20"/>
  </w:num>
  <w:num w:numId="39">
    <w:abstractNumId w:val="23"/>
  </w:num>
  <w:num w:numId="4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E4C69"/>
    <w:rsid w:val="001F09C1"/>
    <w:rsid w:val="001F1A9D"/>
    <w:rsid w:val="001F2D77"/>
    <w:rsid w:val="001F410B"/>
    <w:rsid w:val="001F5378"/>
    <w:rsid w:val="001F57C7"/>
    <w:rsid w:val="001F7127"/>
    <w:rsid w:val="001F71A4"/>
    <w:rsid w:val="001F7CE9"/>
    <w:rsid w:val="002017E4"/>
    <w:rsid w:val="00202FAB"/>
    <w:rsid w:val="00203877"/>
    <w:rsid w:val="0020431E"/>
    <w:rsid w:val="00205384"/>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1F8"/>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4FC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1D7"/>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477A"/>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19A0"/>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0E2E"/>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6C54"/>
    <w:rsid w:val="00727D6A"/>
    <w:rsid w:val="007305CB"/>
    <w:rsid w:val="00730BC6"/>
    <w:rsid w:val="00740E7D"/>
    <w:rsid w:val="0074236F"/>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6EE1"/>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4529"/>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051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5399"/>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3678"/>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DB20-05D1-4454-9B72-DDEC9CFD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11</Pages>
  <Words>5755</Words>
  <Characters>40463</Characters>
  <Application>Microsoft Office Word</Application>
  <DocSecurity>0</DocSecurity>
  <Lines>860</Lines>
  <Paragraphs>409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45809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214</cp:revision>
  <cp:lastPrinted>2011-12-07T05:49:00Z</cp:lastPrinted>
  <dcterms:created xsi:type="dcterms:W3CDTF">2014-05-27T01:29:00Z</dcterms:created>
  <dcterms:modified xsi:type="dcterms:W3CDTF">2022-02-22T05:10:00Z</dcterms:modified>
</cp:coreProperties>
</file>